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海亮项目防水材料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竞价文件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TGJA-WZ-202409</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5、发中标通知书时间：另行通知</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6、签订合同时间：另行通知</w:t>
      </w:r>
    </w:p>
    <w:p>
      <w:pPr>
        <w:spacing w:line="360" w:lineRule="auto"/>
        <w:ind w:firstLine="480" w:firstLineChars="200"/>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w:t>
      </w:r>
      <w:r>
        <w:rPr>
          <w:rFonts w:hint="eastAsia" w:ascii="仿宋" w:hAnsi="仿宋" w:eastAsia="仿宋" w:cs="仿宋_GB2312"/>
          <w:sz w:val="24"/>
          <w:highlight w:val="none"/>
        </w:rPr>
        <w:t>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1、为严肃和规范投标行为，确保投标的顺利以及中标后合同的有效执行，投标人须向招标人缴纳投标保证金，本次1包需缴纳投标保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rPr>
        <w:t>贰仟元整</w:t>
      </w:r>
      <w:r>
        <w:rPr>
          <w:rFonts w:hint="eastAsia" w:ascii="仿宋" w:hAnsi="仿宋" w:eastAsia="仿宋" w:cs="仿宋_GB2312"/>
          <w:color w:val="000000"/>
          <w:sz w:val="24"/>
        </w:rPr>
        <w:t>；</w:t>
      </w:r>
      <w:r>
        <w:rPr>
          <w:rFonts w:hint="eastAsia" w:ascii="仿宋" w:hAnsi="仿宋" w:eastAsia="仿宋" w:cs="仿宋_GB2312"/>
          <w:sz w:val="24"/>
        </w:rPr>
        <w:t>2包需缴纳投标保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rPr>
        <w:t>贰万元整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铜陵铜冠建安第二事业部海亮项目TGJA-WZ-202409投标保证金。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4、招标结果公示后1个月内，向所有投标人退还投标保证金（无息）。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rPr>
        <w:t>1、投标文件递交的截止时间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3、投标文件收件人：</w:t>
      </w:r>
      <w:r>
        <w:rPr>
          <w:rFonts w:hint="eastAsia" w:ascii="仿宋" w:hAnsi="仿宋" w:eastAsia="仿宋" w:cs="仿宋_GB2312"/>
          <w:sz w:val="24"/>
          <w:u w:val="single"/>
        </w:rPr>
        <w:t>黄赟（18656211500）。</w:t>
      </w:r>
    </w:p>
    <w:p>
      <w:pPr>
        <w:spacing w:line="360" w:lineRule="auto"/>
        <w:ind w:firstLine="480" w:firstLineChars="200"/>
        <w:rPr>
          <w:rFonts w:ascii="仿宋" w:hAnsi="仿宋" w:eastAsia="仿宋" w:cs="仿宋_GB2312"/>
          <w:b/>
          <w:sz w:val="24"/>
        </w:rPr>
      </w:pPr>
      <w:r>
        <w:rPr>
          <w:rFonts w:hint="eastAsia" w:ascii="仿宋" w:hAnsi="仿宋" w:eastAsia="仿宋" w:cs="仿宋_GB2312"/>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八、投标人须知</w:t>
      </w:r>
    </w:p>
    <w:p>
      <w:pPr>
        <w:spacing w:line="360" w:lineRule="auto"/>
        <w:jc w:val="center"/>
        <w:rPr>
          <w:rFonts w:ascii="仿宋" w:hAnsi="仿宋" w:eastAsia="仿宋" w:cs="仿宋_GB2312"/>
          <w:b/>
          <w:sz w:val="24"/>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
          <w:sz w:val="24"/>
        </w:rPr>
      </w:pPr>
      <w:r>
        <w:rPr>
          <w:rFonts w:hint="eastAsia" w:ascii="仿宋" w:hAnsi="仿宋" w:eastAsia="仿宋" w:cs="仿宋_GB2312"/>
          <w:sz w:val="24"/>
        </w:rPr>
        <w:t>（1）</w:t>
      </w:r>
      <w:r>
        <w:rPr>
          <w:rFonts w:hint="eastAsia" w:ascii="仿宋" w:hAnsi="仿宋" w:eastAsia="仿宋" w:cs="仿宋"/>
          <w:sz w:val="24"/>
        </w:rPr>
        <w:t>材料质量要求</w:t>
      </w:r>
    </w:p>
    <w:p>
      <w:pPr>
        <w:spacing w:line="360" w:lineRule="auto"/>
        <w:ind w:firstLine="480" w:firstLineChars="200"/>
        <w:rPr>
          <w:rFonts w:ascii="仿宋" w:hAnsi="仿宋" w:eastAsia="仿宋" w:cs="仿宋_GB2312"/>
          <w:sz w:val="24"/>
        </w:rPr>
      </w:pPr>
      <w:r>
        <w:rPr>
          <w:rFonts w:hint="eastAsia" w:ascii="仿宋" w:hAnsi="仿宋" w:eastAsia="仿宋" w:cs="仿宋"/>
          <w:sz w:val="24"/>
        </w:rPr>
        <w:t>应符合国家最新质量标准和招标文件要求。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材料送至铜冠建安公司铜陵市区施工现场。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（1）本次招标价为含税含运费一票制价格。</w:t>
      </w:r>
    </w:p>
    <w:p>
      <w:pPr>
        <w:spacing w:line="360" w:lineRule="auto"/>
        <w:ind w:left="560"/>
        <w:rPr>
          <w:rFonts w:ascii="仿宋" w:hAnsi="仿宋" w:eastAsia="仿宋" w:cs="仿宋_GB2312"/>
          <w:sz w:val="24"/>
        </w:rPr>
      </w:pPr>
      <w:r>
        <w:rPr>
          <w:rFonts w:hint="eastAsia" w:ascii="仿宋" w:hAnsi="仿宋" w:eastAsia="仿宋" w:cs="仿宋_GB2312"/>
          <w:sz w:val="24"/>
        </w:rPr>
        <w:t>（2）一经中标，合同期内价格不予调整。</w:t>
      </w:r>
    </w:p>
    <w:p>
      <w:pPr>
        <w:spacing w:line="360" w:lineRule="auto"/>
        <w:ind w:left="560"/>
        <w:rPr>
          <w:rFonts w:ascii="仿宋" w:hAnsi="仿宋" w:eastAsia="仿宋" w:cs="仿宋_GB2312"/>
          <w:sz w:val="24"/>
        </w:rPr>
      </w:pPr>
      <w:r>
        <w:rPr>
          <w:rFonts w:hint="eastAsia" w:ascii="仿宋" w:hAnsi="仿宋" w:eastAsia="仿宋" w:cs="仿宋_GB2312"/>
          <w:sz w:val="24"/>
        </w:rPr>
        <w:t>（3）本次竞价总价设最高限价（含13%税价），1包最高限价110000元，2包最高限价900000元。超过最高限价的报价（含本数）将做为废标处理。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（1）以招标人现场签字验收的收货单数量为准，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480" w:firstLineChars="200"/>
        <w:rPr>
          <w:rFonts w:ascii="仿宋" w:hAnsi="仿宋" w:eastAsia="仿宋" w:cs="仿宋_GB2312"/>
          <w:spacing w:val="-17"/>
          <w:sz w:val="24"/>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b/>
          <w:sz w:val="24"/>
        </w:rPr>
      </w:pPr>
      <w:r>
        <w:rPr>
          <w:rFonts w:hint="eastAsia" w:ascii="仿宋" w:hAnsi="仿宋" w:eastAsia="仿宋" w:cs="仿宋_GB2312"/>
          <w:color w:val="000000" w:themeColor="text1"/>
          <w:sz w:val="24"/>
          <w:u w:val="single"/>
        </w:rPr>
        <w:t>合同签订后，</w:t>
      </w:r>
      <w:r>
        <w:rPr>
          <w:rFonts w:hint="eastAsia" w:ascii="仿宋" w:hAnsi="仿宋" w:eastAsia="仿宋" w:cs="仿宋"/>
          <w:color w:val="000000" w:themeColor="text1"/>
          <w:sz w:val="24"/>
          <w:u w:val="single"/>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rPr>
        <w:t>本次招标设置控制价，具体见第八章第4条。</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十一、法定代表人授权书</w:t>
      </w:r>
    </w:p>
    <w:p>
      <w:pPr>
        <w:pStyle w:val="20"/>
        <w:spacing w:line="360" w:lineRule="auto"/>
        <w:rPr>
          <w:rFonts w:ascii="仿宋" w:hAnsi="仿宋" w:eastAsia="仿宋"/>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360" w:lineRule="auto"/>
        <w:ind w:firstLine="480" w:firstLineChars="200"/>
        <w:rPr>
          <w:rFonts w:ascii="仿宋" w:hAnsi="仿宋" w:eastAsia="仿宋" w:cs="仿宋_GB2312"/>
          <w:sz w:val="24"/>
        </w:rPr>
      </w:pPr>
    </w:p>
    <w:p>
      <w:pPr>
        <w:spacing w:line="360" w:lineRule="auto"/>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360" w:lineRule="auto"/>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360" w:lineRule="auto"/>
        <w:ind w:firstLine="480" w:firstLineChars="200"/>
        <w:rPr>
          <w:rFonts w:ascii="仿宋" w:hAnsi="仿宋" w:eastAsia="仿宋" w:cs="仿宋_GB2312"/>
          <w:sz w:val="24"/>
        </w:rPr>
      </w:pPr>
    </w:p>
    <w:p>
      <w:pPr>
        <w:spacing w:line="360" w:lineRule="auto"/>
        <w:ind w:firstLine="6240" w:firstLineChars="2600"/>
        <w:rPr>
          <w:rFonts w:ascii="仿宋" w:hAnsi="仿宋" w:eastAsia="仿宋" w:cs="仿宋_GB2312"/>
          <w:sz w:val="24"/>
        </w:rPr>
      </w:pPr>
      <w:r>
        <w:rPr>
          <w:rFonts w:hint="eastAsia" w:ascii="仿宋" w:hAnsi="仿宋" w:eastAsia="仿宋" w:cs="仿宋_GB2312"/>
          <w:sz w:val="24"/>
        </w:rPr>
        <w:t>年  月  日</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bCs/>
          <w:sz w:val="24"/>
        </w:rPr>
      </w:pPr>
      <w:r>
        <w:rPr>
          <w:rFonts w:hint="eastAsia" w:ascii="仿宋" w:hAnsi="仿宋" w:eastAsia="仿宋" w:cs="仿宋_GB2312"/>
          <w:b/>
          <w:sz w:val="24"/>
        </w:rPr>
        <w:t>十二、投标廉洁</w:t>
      </w:r>
      <w:r>
        <w:rPr>
          <w:rFonts w:hint="eastAsia" w:ascii="仿宋" w:hAnsi="仿宋" w:eastAsia="仿宋" w:cs="仿宋_GB2312"/>
          <w:b/>
          <w:bCs/>
          <w:sz w:val="24"/>
        </w:rPr>
        <w:t>承诺书</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u w:val="single"/>
        </w:rPr>
      </w:pPr>
    </w:p>
    <w:p>
      <w:pPr>
        <w:spacing w:line="360" w:lineRule="auto"/>
        <w:ind w:firstLine="4560" w:firstLineChars="1900"/>
        <w:rPr>
          <w:rFonts w:ascii="仿宋" w:hAnsi="仿宋" w:eastAsia="仿宋" w:cs="仿宋_GB2312"/>
          <w:sz w:val="24"/>
        </w:rPr>
      </w:pPr>
    </w:p>
    <w:p>
      <w:pPr>
        <w:spacing w:line="360" w:lineRule="auto"/>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360" w:lineRule="auto"/>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360" w:lineRule="auto"/>
        <w:ind w:firstLine="1744" w:firstLineChars="800"/>
        <w:jc w:val="center"/>
        <w:rPr>
          <w:rFonts w:ascii="仿宋" w:hAnsi="仿宋" w:eastAsia="仿宋" w:cs="仿宋_GB2312"/>
          <w:sz w:val="28"/>
          <w:szCs w:val="28"/>
        </w:rPr>
      </w:pPr>
      <w:r>
        <w:rPr>
          <w:rFonts w:hint="eastAsia" w:ascii="仿宋" w:hAnsi="仿宋" w:eastAsia="仿宋" w:cs="仿宋_GB2312"/>
          <w:spacing w:val="-11"/>
          <w:sz w:val="24"/>
        </w:rPr>
        <w:t xml:space="preserve">日  </w:t>
      </w:r>
      <w:r>
        <w:rPr>
          <w:rFonts w:hint="eastAsia" w:ascii="仿宋" w:hAnsi="仿宋" w:eastAsia="仿宋" w:cs="仿宋_GB2312"/>
          <w:spacing w:val="-11"/>
          <w:sz w:val="28"/>
          <w:szCs w:val="28"/>
        </w:rPr>
        <w:t xml:space="preserve">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cs="仿宋_GB2312"/>
          <w:b/>
          <w:sz w:val="28"/>
          <w:szCs w:val="28"/>
        </w:rPr>
      </w:pPr>
      <w:r>
        <w:rPr>
          <w:rFonts w:hint="eastAsia" w:ascii="仿宋" w:hAnsi="仿宋" w:eastAsia="仿宋"/>
          <w:b/>
          <w:sz w:val="28"/>
          <w:szCs w:val="28"/>
        </w:rPr>
        <w:t>报价单（TGJA-WZ-202409）1包</w:t>
      </w:r>
      <w:r>
        <w:rPr>
          <w:rFonts w:hint="eastAsia" w:ascii="仿宋" w:hAnsi="仿宋" w:eastAsia="仿宋" w:cs="仿宋_GB2312"/>
          <w:b/>
          <w:sz w:val="28"/>
          <w:szCs w:val="28"/>
        </w:rPr>
        <w:t>：</w:t>
      </w:r>
      <w:r>
        <w:rPr>
          <w:rFonts w:ascii="仿宋" w:hAnsi="仿宋" w:eastAsia="仿宋" w:cs="仿宋_GB2312"/>
          <w:b/>
          <w:sz w:val="28"/>
          <w:szCs w:val="28"/>
        </w:rPr>
        <w:t xml:space="preserve"> </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jc w:val="center"/>
              <w:rPr>
                <w:rFonts w:ascii="宋体" w:hAnsi="宋体" w:cs="宋体"/>
                <w:color w:val="000000"/>
                <w:sz w:val="22"/>
                <w:szCs w:val="22"/>
              </w:rPr>
            </w:pPr>
            <w:r>
              <w:rPr>
                <w:rFonts w:hint="eastAsia"/>
                <w:color w:val="000000"/>
                <w:sz w:val="22"/>
                <w:szCs w:val="22"/>
              </w:rPr>
              <w:t>SBS改性沥青防水卷材</w:t>
            </w:r>
          </w:p>
        </w:tc>
        <w:tc>
          <w:tcPr>
            <w:tcW w:w="1594" w:type="dxa"/>
            <w:vAlign w:val="center"/>
          </w:tcPr>
          <w:p>
            <w:pPr>
              <w:jc w:val="center"/>
              <w:rPr>
                <w:rFonts w:ascii="宋体" w:hAnsi="宋体" w:cs="宋体"/>
                <w:color w:val="000000"/>
                <w:sz w:val="22"/>
                <w:szCs w:val="22"/>
              </w:rPr>
            </w:pPr>
            <w:r>
              <w:rPr>
                <w:rFonts w:hint="eastAsia"/>
                <w:color w:val="000000"/>
                <w:sz w:val="22"/>
                <w:szCs w:val="22"/>
              </w:rPr>
              <w:t>3.0mm厚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2200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87" w:type="dxa"/>
            <w:vAlign w:val="center"/>
          </w:tcPr>
          <w:p>
            <w:pPr>
              <w:jc w:val="center"/>
              <w:rPr>
                <w:rFonts w:ascii="宋体" w:hAnsi="宋体" w:cs="宋体"/>
                <w:color w:val="000000"/>
                <w:sz w:val="22"/>
                <w:szCs w:val="22"/>
              </w:rPr>
            </w:pPr>
            <w:r>
              <w:rPr>
                <w:rFonts w:hint="eastAsia"/>
                <w:color w:val="000000"/>
                <w:sz w:val="22"/>
                <w:szCs w:val="22"/>
              </w:rPr>
              <w:t>HDPE防渗膜</w:t>
            </w:r>
          </w:p>
        </w:tc>
        <w:tc>
          <w:tcPr>
            <w:tcW w:w="1594" w:type="dxa"/>
            <w:vAlign w:val="center"/>
          </w:tcPr>
          <w:p>
            <w:pPr>
              <w:jc w:val="center"/>
              <w:rPr>
                <w:rFonts w:ascii="宋体" w:hAnsi="宋体" w:cs="宋体"/>
                <w:color w:val="000000"/>
                <w:sz w:val="22"/>
                <w:szCs w:val="22"/>
              </w:rPr>
            </w:pPr>
            <w:r>
              <w:rPr>
                <w:rFonts w:hint="eastAsia"/>
                <w:color w:val="000000"/>
                <w:sz w:val="22"/>
                <w:szCs w:val="22"/>
              </w:rPr>
              <w:t>2.0mm厚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2200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1587" w:type="dxa"/>
            <w:vAlign w:val="center"/>
          </w:tcPr>
          <w:p>
            <w:pPr>
              <w:jc w:val="center"/>
              <w:rPr>
                <w:rFonts w:ascii="宋体" w:hAnsi="宋体" w:cs="宋体"/>
                <w:color w:val="000000"/>
                <w:sz w:val="22"/>
                <w:szCs w:val="22"/>
              </w:rPr>
            </w:pPr>
            <w:r>
              <w:rPr>
                <w:rFonts w:hint="eastAsia"/>
                <w:color w:val="000000"/>
                <w:sz w:val="22"/>
                <w:szCs w:val="22"/>
              </w:rPr>
              <w:t>挤塑聚苯乙烯保温板</w:t>
            </w:r>
          </w:p>
        </w:tc>
        <w:tc>
          <w:tcPr>
            <w:tcW w:w="1594" w:type="dxa"/>
            <w:vAlign w:val="center"/>
          </w:tcPr>
          <w:p>
            <w:pPr>
              <w:jc w:val="center"/>
              <w:rPr>
                <w:rFonts w:ascii="宋体" w:hAnsi="宋体" w:cs="宋体"/>
                <w:color w:val="000000"/>
                <w:sz w:val="22"/>
                <w:szCs w:val="22"/>
              </w:rPr>
            </w:pPr>
            <w:r>
              <w:rPr>
                <w:rFonts w:hint="eastAsia"/>
                <w:color w:val="000000"/>
                <w:sz w:val="22"/>
                <w:szCs w:val="22"/>
              </w:rPr>
              <w:t>50mm厚</w:t>
            </w:r>
          </w:p>
        </w:tc>
        <w:tc>
          <w:tcPr>
            <w:tcW w:w="849" w:type="dxa"/>
            <w:vAlign w:val="center"/>
          </w:tcPr>
          <w:p>
            <w:pPr>
              <w:jc w:val="center"/>
              <w:rPr>
                <w:rFonts w:ascii="宋体" w:hAnsi="宋体" w:cs="宋体"/>
                <w:color w:val="000000"/>
                <w:sz w:val="22"/>
                <w:szCs w:val="22"/>
              </w:rPr>
            </w:pPr>
            <w:r>
              <w:rPr>
                <w:rFonts w:hint="eastAsia"/>
                <w:color w:val="000000"/>
                <w:sz w:val="22"/>
                <w:szCs w:val="22"/>
              </w:rPr>
              <w:t>m</w:t>
            </w:r>
            <w:r>
              <w:rPr>
                <w:rFonts w:hint="eastAsia"/>
                <w:color w:val="000000"/>
                <w:sz w:val="22"/>
                <w:szCs w:val="22"/>
                <w:vertAlign w:val="superscript"/>
              </w:rPr>
              <w:t>3</w:t>
            </w:r>
          </w:p>
        </w:tc>
        <w:tc>
          <w:tcPr>
            <w:tcW w:w="982" w:type="dxa"/>
            <w:vAlign w:val="center"/>
          </w:tcPr>
          <w:p>
            <w:pPr>
              <w:jc w:val="center"/>
              <w:rPr>
                <w:rFonts w:ascii="宋体" w:hAnsi="宋体" w:cs="宋体"/>
                <w:color w:val="000000"/>
                <w:sz w:val="22"/>
                <w:szCs w:val="22"/>
              </w:rPr>
            </w:pPr>
            <w:r>
              <w:rPr>
                <w:rFonts w:hint="eastAsia"/>
                <w:color w:val="000000"/>
                <w:sz w:val="22"/>
                <w:szCs w:val="22"/>
              </w:rPr>
              <w:t>60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6500"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p>
      <w:pPr>
        <w:spacing w:line="400" w:lineRule="exact"/>
        <w:rPr>
          <w:rFonts w:ascii="仿宋" w:hAnsi="仿宋" w:eastAsia="仿宋" w:cs="仿宋_GB2312"/>
          <w:b/>
          <w:sz w:val="28"/>
          <w:szCs w:val="28"/>
        </w:rPr>
      </w:pPr>
      <w:bookmarkStart w:id="0" w:name="_GoBack"/>
      <w:bookmarkEnd w:id="0"/>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cs="仿宋_GB2312"/>
          <w:b/>
          <w:sz w:val="28"/>
          <w:szCs w:val="28"/>
        </w:rPr>
      </w:pPr>
      <w:r>
        <w:rPr>
          <w:rFonts w:hint="eastAsia" w:ascii="仿宋" w:hAnsi="仿宋" w:eastAsia="仿宋"/>
          <w:b/>
          <w:sz w:val="28"/>
          <w:szCs w:val="28"/>
        </w:rPr>
        <w:t>报价单（TGJA-WZ-202409）2包</w:t>
      </w:r>
      <w:r>
        <w:rPr>
          <w:rFonts w:hint="eastAsia" w:ascii="仿宋" w:hAnsi="仿宋" w:eastAsia="仿宋" w:cs="仿宋_GB2312"/>
          <w:b/>
          <w:sz w:val="28"/>
          <w:szCs w:val="28"/>
        </w:rPr>
        <w:t>：</w:t>
      </w:r>
      <w:r>
        <w:rPr>
          <w:rFonts w:ascii="仿宋" w:hAnsi="仿宋" w:eastAsia="仿宋" w:cs="仿宋_GB2312"/>
          <w:b/>
          <w:sz w:val="28"/>
          <w:szCs w:val="28"/>
        </w:rPr>
        <w:t xml:space="preserve"> </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jc w:val="center"/>
              <w:rPr>
                <w:rFonts w:ascii="宋体" w:hAnsi="宋体" w:cs="宋体"/>
                <w:color w:val="000000"/>
                <w:sz w:val="22"/>
                <w:szCs w:val="22"/>
              </w:rPr>
            </w:pPr>
            <w:r>
              <w:rPr>
                <w:rFonts w:hint="eastAsia"/>
                <w:color w:val="000000"/>
                <w:sz w:val="22"/>
                <w:szCs w:val="22"/>
              </w:rPr>
              <w:t>SBS改性沥青防水卷材</w:t>
            </w:r>
          </w:p>
        </w:tc>
        <w:tc>
          <w:tcPr>
            <w:tcW w:w="1594" w:type="dxa"/>
            <w:vAlign w:val="center"/>
          </w:tcPr>
          <w:p>
            <w:pPr>
              <w:jc w:val="center"/>
              <w:rPr>
                <w:rFonts w:ascii="宋体" w:hAnsi="宋体" w:cs="宋体"/>
                <w:color w:val="000000"/>
                <w:sz w:val="22"/>
                <w:szCs w:val="22"/>
              </w:rPr>
            </w:pPr>
            <w:r>
              <w:rPr>
                <w:rFonts w:hint="eastAsia"/>
                <w:color w:val="000000"/>
                <w:sz w:val="22"/>
                <w:szCs w:val="22"/>
              </w:rPr>
              <w:t>3.0mm厚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12000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1587" w:type="dxa"/>
            <w:vAlign w:val="center"/>
          </w:tcPr>
          <w:p>
            <w:pPr>
              <w:jc w:val="center"/>
              <w:rPr>
                <w:rFonts w:ascii="宋体" w:hAnsi="宋体" w:cs="宋体"/>
                <w:color w:val="000000"/>
                <w:sz w:val="22"/>
                <w:szCs w:val="22"/>
              </w:rPr>
            </w:pPr>
            <w:r>
              <w:rPr>
                <w:rFonts w:hint="eastAsia"/>
                <w:color w:val="000000"/>
                <w:sz w:val="22"/>
                <w:szCs w:val="22"/>
              </w:rPr>
              <w:t>HDPE防渗膜</w:t>
            </w:r>
          </w:p>
        </w:tc>
        <w:tc>
          <w:tcPr>
            <w:tcW w:w="1594" w:type="dxa"/>
            <w:vAlign w:val="center"/>
          </w:tcPr>
          <w:p>
            <w:pPr>
              <w:jc w:val="center"/>
              <w:rPr>
                <w:rFonts w:ascii="宋体" w:hAnsi="宋体" w:cs="宋体"/>
                <w:color w:val="000000"/>
                <w:sz w:val="22"/>
                <w:szCs w:val="22"/>
              </w:rPr>
            </w:pPr>
            <w:r>
              <w:rPr>
                <w:rFonts w:hint="eastAsia"/>
                <w:color w:val="000000"/>
                <w:sz w:val="22"/>
                <w:szCs w:val="22"/>
              </w:rPr>
              <w:t>2.0mm厚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10000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1587" w:type="dxa"/>
            <w:vAlign w:val="center"/>
          </w:tcPr>
          <w:p>
            <w:pPr>
              <w:jc w:val="center"/>
              <w:rPr>
                <w:rFonts w:ascii="宋体" w:hAnsi="宋体" w:cs="宋体"/>
                <w:color w:val="000000"/>
                <w:sz w:val="22"/>
                <w:szCs w:val="22"/>
              </w:rPr>
            </w:pPr>
            <w:r>
              <w:rPr>
                <w:rFonts w:hint="eastAsia"/>
                <w:color w:val="000000"/>
                <w:sz w:val="22"/>
                <w:szCs w:val="22"/>
              </w:rPr>
              <w:t>岩棉保温板</w:t>
            </w:r>
          </w:p>
        </w:tc>
        <w:tc>
          <w:tcPr>
            <w:tcW w:w="1594" w:type="dxa"/>
            <w:vAlign w:val="center"/>
          </w:tcPr>
          <w:p>
            <w:pPr>
              <w:jc w:val="center"/>
              <w:rPr>
                <w:rFonts w:ascii="宋体" w:hAnsi="宋体" w:cs="宋体"/>
                <w:color w:val="000000"/>
                <w:sz w:val="22"/>
                <w:szCs w:val="22"/>
              </w:rPr>
            </w:pPr>
            <w:r>
              <w:rPr>
                <w:rFonts w:hint="eastAsia"/>
                <w:color w:val="000000"/>
                <w:sz w:val="22"/>
                <w:szCs w:val="22"/>
              </w:rPr>
              <w:t>50mm厚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7000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1587" w:type="dxa"/>
            <w:vAlign w:val="center"/>
          </w:tcPr>
          <w:p>
            <w:pPr>
              <w:jc w:val="center"/>
              <w:rPr>
                <w:rFonts w:ascii="宋体" w:hAnsi="宋体" w:cs="宋体"/>
                <w:color w:val="000000"/>
                <w:sz w:val="22"/>
                <w:szCs w:val="22"/>
              </w:rPr>
            </w:pPr>
            <w:r>
              <w:rPr>
                <w:rFonts w:hint="eastAsia"/>
                <w:color w:val="000000"/>
                <w:sz w:val="22"/>
                <w:szCs w:val="22"/>
              </w:rPr>
              <w:t>挤塑聚苯乙烯保温板</w:t>
            </w:r>
          </w:p>
        </w:tc>
        <w:tc>
          <w:tcPr>
            <w:tcW w:w="1594" w:type="dxa"/>
            <w:vAlign w:val="center"/>
          </w:tcPr>
          <w:p>
            <w:pPr>
              <w:jc w:val="center"/>
              <w:rPr>
                <w:rFonts w:ascii="宋体" w:hAnsi="宋体" w:cs="宋体"/>
                <w:color w:val="000000"/>
                <w:sz w:val="22"/>
                <w:szCs w:val="22"/>
              </w:rPr>
            </w:pPr>
            <w:r>
              <w:rPr>
                <w:rFonts w:hint="eastAsia"/>
                <w:color w:val="000000"/>
                <w:sz w:val="22"/>
                <w:szCs w:val="22"/>
              </w:rPr>
              <w:t>50mm厚</w:t>
            </w:r>
          </w:p>
        </w:tc>
        <w:tc>
          <w:tcPr>
            <w:tcW w:w="849" w:type="dxa"/>
            <w:vAlign w:val="center"/>
          </w:tcPr>
          <w:p>
            <w:pPr>
              <w:jc w:val="center"/>
              <w:rPr>
                <w:rFonts w:ascii="宋体" w:hAnsi="宋体" w:cs="宋体"/>
                <w:color w:val="000000"/>
                <w:sz w:val="22"/>
                <w:szCs w:val="22"/>
              </w:rPr>
            </w:pPr>
            <w:r>
              <w:rPr>
                <w:rFonts w:hint="eastAsia"/>
                <w:color w:val="000000"/>
                <w:sz w:val="22"/>
                <w:szCs w:val="22"/>
              </w:rPr>
              <w:t>m</w:t>
            </w:r>
            <w:r>
              <w:rPr>
                <w:rFonts w:hint="eastAsia"/>
                <w:color w:val="000000"/>
                <w:sz w:val="22"/>
                <w:szCs w:val="22"/>
                <w:vertAlign w:val="superscript"/>
              </w:rPr>
              <w:t>3</w:t>
            </w:r>
          </w:p>
        </w:tc>
        <w:tc>
          <w:tcPr>
            <w:tcW w:w="982" w:type="dxa"/>
            <w:vAlign w:val="center"/>
          </w:tcPr>
          <w:p>
            <w:pPr>
              <w:jc w:val="center"/>
              <w:rPr>
                <w:rFonts w:ascii="宋体" w:hAnsi="宋体" w:cs="宋体"/>
                <w:color w:val="000000"/>
                <w:sz w:val="22"/>
                <w:szCs w:val="22"/>
              </w:rPr>
            </w:pPr>
            <w:r>
              <w:rPr>
                <w:rFonts w:hint="eastAsia"/>
                <w:color w:val="000000"/>
                <w:sz w:val="22"/>
                <w:szCs w:val="22"/>
              </w:rPr>
              <w:t>400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1587" w:type="dxa"/>
            <w:vAlign w:val="center"/>
          </w:tcPr>
          <w:p>
            <w:pPr>
              <w:jc w:val="center"/>
              <w:rPr>
                <w:rFonts w:ascii="宋体" w:hAnsi="宋体" w:cs="宋体"/>
                <w:color w:val="000000"/>
                <w:sz w:val="22"/>
                <w:szCs w:val="22"/>
              </w:rPr>
            </w:pPr>
            <w:r>
              <w:rPr>
                <w:rFonts w:hint="eastAsia"/>
                <w:color w:val="000000"/>
                <w:sz w:val="22"/>
                <w:szCs w:val="22"/>
              </w:rPr>
              <w:t>岩棉保温板</w:t>
            </w:r>
          </w:p>
        </w:tc>
        <w:tc>
          <w:tcPr>
            <w:tcW w:w="1594" w:type="dxa"/>
            <w:vAlign w:val="center"/>
          </w:tcPr>
          <w:p>
            <w:pPr>
              <w:jc w:val="center"/>
              <w:rPr>
                <w:rFonts w:ascii="宋体" w:hAnsi="宋体" w:cs="宋体"/>
                <w:color w:val="000000"/>
                <w:sz w:val="22"/>
                <w:szCs w:val="22"/>
              </w:rPr>
            </w:pPr>
            <w:r>
              <w:rPr>
                <w:rFonts w:hint="eastAsia"/>
                <w:color w:val="000000"/>
                <w:sz w:val="22"/>
                <w:szCs w:val="22"/>
              </w:rPr>
              <w:t>100mm厚</w:t>
            </w:r>
          </w:p>
        </w:tc>
        <w:tc>
          <w:tcPr>
            <w:tcW w:w="849" w:type="dxa"/>
            <w:vAlign w:val="center"/>
          </w:tcPr>
          <w:p>
            <w:pPr>
              <w:jc w:val="center"/>
              <w:rPr>
                <w:rFonts w:ascii="宋体" w:hAnsi="宋体" w:cs="宋体"/>
                <w:color w:val="000000"/>
                <w:sz w:val="22"/>
                <w:szCs w:val="22"/>
              </w:rPr>
            </w:pPr>
            <w:r>
              <w:rPr>
                <w:rFonts w:hint="eastAsia"/>
                <w:color w:val="000000"/>
                <w:sz w:val="22"/>
                <w:szCs w:val="22"/>
              </w:rPr>
              <w:t>㎡</w:t>
            </w:r>
          </w:p>
        </w:tc>
        <w:tc>
          <w:tcPr>
            <w:tcW w:w="982" w:type="dxa"/>
            <w:vAlign w:val="center"/>
          </w:tcPr>
          <w:p>
            <w:pPr>
              <w:jc w:val="center"/>
              <w:rPr>
                <w:rFonts w:ascii="宋体" w:hAnsi="宋体" w:cs="宋体"/>
                <w:color w:val="000000"/>
                <w:sz w:val="22"/>
                <w:szCs w:val="22"/>
              </w:rPr>
            </w:pPr>
            <w:r>
              <w:rPr>
                <w:rFonts w:hint="eastAsia"/>
                <w:color w:val="000000"/>
                <w:sz w:val="22"/>
                <w:szCs w:val="22"/>
              </w:rPr>
              <w:t>2500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6500"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p>
      <w:pPr>
        <w:spacing w:line="400" w:lineRule="exact"/>
        <w:rPr>
          <w:rFonts w:ascii="仿宋" w:hAnsi="仿宋" w:eastAsia="仿宋" w:cs="仿宋_GB2312"/>
          <w:b/>
          <w:sz w:val="28"/>
          <w:szCs w:val="28"/>
        </w:rPr>
      </w:pPr>
    </w:p>
    <w:p>
      <w:pPr>
        <w:spacing w:line="400" w:lineRule="exact"/>
        <w:rPr>
          <w:rFonts w:ascii="仿宋" w:hAnsi="仿宋" w:eastAsia="仿宋" w:cs="仿宋_GB2312"/>
          <w:b/>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16054"/>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5FE"/>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650"/>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5D3CF1"/>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784</Words>
  <Characters>4472</Characters>
  <Lines>37</Lines>
  <Paragraphs>10</Paragraphs>
  <TotalTime>134</TotalTime>
  <ScaleCrop>false</ScaleCrop>
  <LinksUpToDate>false</LinksUpToDate>
  <CharactersWithSpaces>5246</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2024-01-19T07:08:36Z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